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6" w:rsidRDefault="00A15A2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5A26" w:rsidRDefault="00A15A26">
      <w:pPr>
        <w:pStyle w:val="ConsPlusNormal"/>
        <w:jc w:val="both"/>
        <w:outlineLvl w:val="0"/>
      </w:pPr>
    </w:p>
    <w:p w:rsidR="00A15A26" w:rsidRDefault="00A15A26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A15A26" w:rsidRDefault="00A15A26">
      <w:pPr>
        <w:pStyle w:val="ConsPlusTitle"/>
        <w:jc w:val="center"/>
      </w:pPr>
      <w:r>
        <w:t>РОССИЙСКОЙ ФЕДЕРАЦИИ</w:t>
      </w:r>
    </w:p>
    <w:p w:rsidR="00A15A26" w:rsidRDefault="00A15A26">
      <w:pPr>
        <w:pStyle w:val="ConsPlusTitle"/>
        <w:jc w:val="center"/>
      </w:pPr>
    </w:p>
    <w:p w:rsidR="00A15A26" w:rsidRDefault="00A15A26">
      <w:pPr>
        <w:pStyle w:val="ConsPlusTitle"/>
        <w:jc w:val="center"/>
      </w:pPr>
      <w:r>
        <w:t>ПРИКАЗ</w:t>
      </w:r>
    </w:p>
    <w:p w:rsidR="00A15A26" w:rsidRDefault="00A15A26">
      <w:pPr>
        <w:pStyle w:val="ConsPlusTitle"/>
        <w:jc w:val="center"/>
      </w:pPr>
      <w:r>
        <w:t>от 10 июля 2006 г. N 534</w:t>
      </w:r>
    </w:p>
    <w:p w:rsidR="00A15A26" w:rsidRDefault="00A15A26">
      <w:pPr>
        <w:pStyle w:val="ConsPlusTitle"/>
        <w:jc w:val="center"/>
      </w:pPr>
    </w:p>
    <w:p w:rsidR="00A15A26" w:rsidRDefault="00A15A26">
      <w:pPr>
        <w:pStyle w:val="ConsPlusTitle"/>
        <w:jc w:val="center"/>
      </w:pPr>
      <w:r>
        <w:t>ОБ УТВЕРЖДЕНИИ СТАНДАРТА МЕДИЦИНСКОЙ ПОМОЩИ БОЛЬНЫМ</w:t>
      </w:r>
    </w:p>
    <w:p w:rsidR="00A15A26" w:rsidRDefault="00A15A26">
      <w:pPr>
        <w:pStyle w:val="ConsPlusTitle"/>
        <w:jc w:val="center"/>
      </w:pPr>
      <w:r>
        <w:t>С РУБЦАМИ, ПОМУТНЕНИЕМ И ДРУГИМИ БОЛЕЗНЯМИ РОГОВИЦЫ</w:t>
      </w:r>
    </w:p>
    <w:p w:rsidR="00A15A26" w:rsidRDefault="00A15A26">
      <w:pPr>
        <w:pStyle w:val="ConsPlusNormal"/>
        <w:jc w:val="center"/>
      </w:pPr>
    </w:p>
    <w:p w:rsidR="00A15A26" w:rsidRDefault="00A15A2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ст. 40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A15A26" w:rsidRDefault="00A15A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рубцами, помутнением и другими болезнями роговицы.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рубцами, помутнением и другими болезнями роговицы при оказании дорогостоящей (высокотехнологичной) медицинской помощи.</w:t>
      </w: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jc w:val="right"/>
      </w:pPr>
      <w:r>
        <w:t>Заместитель Министра</w:t>
      </w:r>
    </w:p>
    <w:p w:rsidR="00A15A26" w:rsidRDefault="00A15A26">
      <w:pPr>
        <w:pStyle w:val="ConsPlusNormal"/>
        <w:jc w:val="right"/>
      </w:pPr>
      <w:r>
        <w:t>В.СТАРОДУБОВ</w:t>
      </w: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jc w:val="right"/>
        <w:outlineLvl w:val="0"/>
      </w:pPr>
      <w:r>
        <w:t>Утвержден</w:t>
      </w:r>
    </w:p>
    <w:p w:rsidR="00A15A26" w:rsidRDefault="00A15A26">
      <w:pPr>
        <w:pStyle w:val="ConsPlusNormal"/>
        <w:jc w:val="right"/>
      </w:pPr>
      <w:r>
        <w:t>Приказом Министерства</w:t>
      </w:r>
    </w:p>
    <w:p w:rsidR="00A15A26" w:rsidRDefault="00A15A26">
      <w:pPr>
        <w:pStyle w:val="ConsPlusNormal"/>
        <w:jc w:val="right"/>
      </w:pPr>
      <w:r>
        <w:t>здравоохранения и социального</w:t>
      </w:r>
    </w:p>
    <w:p w:rsidR="00A15A26" w:rsidRDefault="00A15A26">
      <w:pPr>
        <w:pStyle w:val="ConsPlusNormal"/>
        <w:jc w:val="right"/>
      </w:pPr>
      <w:r>
        <w:t>развития Российской Федерации</w:t>
      </w:r>
    </w:p>
    <w:p w:rsidR="00A15A26" w:rsidRDefault="00A15A26">
      <w:pPr>
        <w:pStyle w:val="ConsPlusNormal"/>
        <w:jc w:val="right"/>
      </w:pPr>
      <w:r>
        <w:t>от 10 июля 2006 г. N 534</w:t>
      </w: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Title"/>
        <w:jc w:val="center"/>
      </w:pPr>
      <w:bookmarkStart w:id="1" w:name="P27"/>
      <w:bookmarkEnd w:id="1"/>
      <w:r>
        <w:t>СТАНДАРТ</w:t>
      </w:r>
    </w:p>
    <w:p w:rsidR="00A15A26" w:rsidRDefault="00A15A26">
      <w:pPr>
        <w:pStyle w:val="ConsPlusTitle"/>
        <w:jc w:val="center"/>
      </w:pPr>
      <w:r>
        <w:t>МЕДИЦИНСКОЙ ПОМОЩИ БОЛЬНЫМ С РУБЦАМИ, ПОМУТНЕНИЕМ</w:t>
      </w:r>
    </w:p>
    <w:p w:rsidR="00A15A26" w:rsidRDefault="00A15A26">
      <w:pPr>
        <w:pStyle w:val="ConsPlusTitle"/>
        <w:jc w:val="center"/>
      </w:pPr>
      <w:r>
        <w:t>И ДРУГИМИ БОЛЕЗНЯМИ РОГОВИЦЫ</w:t>
      </w: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  <w:r>
        <w:t>1. Модель пациента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t xml:space="preserve">Нозологическая форма: рубцы и помутнения роговицы; другие болезни роговицы (буллезная </w:t>
      </w:r>
      <w:proofErr w:type="spellStart"/>
      <w:r>
        <w:t>кератопатия</w:t>
      </w:r>
      <w:proofErr w:type="spellEnd"/>
      <w:r>
        <w:t xml:space="preserve">; дегенерация, наследственные дистрофии роговицы; </w:t>
      </w:r>
      <w:proofErr w:type="spellStart"/>
      <w:r>
        <w:t>кератоконус</w:t>
      </w:r>
      <w:proofErr w:type="spellEnd"/>
      <w:r>
        <w:t>)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7">
        <w:r>
          <w:rPr>
            <w:color w:val="0000FF"/>
          </w:rPr>
          <w:t>H17</w:t>
        </w:r>
      </w:hyperlink>
      <w:r>
        <w:t xml:space="preserve">; </w:t>
      </w:r>
      <w:hyperlink r:id="rId8">
        <w:r>
          <w:rPr>
            <w:color w:val="0000FF"/>
          </w:rPr>
          <w:t>H18</w:t>
        </w:r>
      </w:hyperlink>
    </w:p>
    <w:p w:rsidR="00A15A26" w:rsidRDefault="00A15A26">
      <w:pPr>
        <w:pStyle w:val="ConsPlusNormal"/>
        <w:spacing w:before="220"/>
        <w:ind w:firstLine="540"/>
        <w:jc w:val="both"/>
      </w:pPr>
      <w:r>
        <w:t>Фаза: любая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t>Стадия: любая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lastRenderedPageBreak/>
        <w:t>Осложнение: вне зависимости от осложнений</w:t>
      </w:r>
    </w:p>
    <w:p w:rsidR="00A15A26" w:rsidRDefault="00A15A26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jc w:val="center"/>
      </w:pPr>
      <w:r>
        <w:t>1.1. ДИАГНОСТИКА</w:t>
      </w:r>
    </w:p>
    <w:p w:rsidR="00A15A26" w:rsidRDefault="00A15A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"/>
        <w:gridCol w:w="5185"/>
        <w:gridCol w:w="1462"/>
        <w:gridCol w:w="1077"/>
      </w:tblGrid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Частота предоставления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А01.26.001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Сбор анамнеза и жалоб при патологии глаз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А01.26.002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Визуальное исследование глаз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А01.26.003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Пальпация при патологии глаз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сред глаза в проходящем свете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Офтальмоскопия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Визометрия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Периметрия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А02.26.013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А02.26.014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Скиаскопия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А02.26.015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Тонометрия глаза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А02.26.017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дефектов поверхности роговицы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А02.26.018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Выявление фистулы роговицы склеры (</w:t>
            </w:r>
            <w:proofErr w:type="spellStart"/>
            <w:r>
              <w:t>флюоресцентный</w:t>
            </w:r>
            <w:proofErr w:type="spellEnd"/>
            <w:r>
              <w:t xml:space="preserve"> тест </w:t>
            </w:r>
            <w:proofErr w:type="spellStart"/>
            <w:r>
              <w:t>Зайделя</w:t>
            </w:r>
            <w:proofErr w:type="spellEnd"/>
            <w:r>
              <w:t>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А02.26.020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Тест </w:t>
            </w:r>
            <w:proofErr w:type="spellStart"/>
            <w:r>
              <w:t>Ширмера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Гониоскопия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Лазерная </w:t>
            </w:r>
            <w:proofErr w:type="spellStart"/>
            <w:r>
              <w:t>ретинометрия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А03.26.008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Рефрактометрия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А03.26.009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Офтальмометрия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А03.26.012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заднего эпителия роговицы (ЗЭР)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А03.26.015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Тонография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А04.26.004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Ультразвуковая биометрия глаза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А05.26.001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Регистрация </w:t>
            </w:r>
            <w:proofErr w:type="spellStart"/>
            <w:r>
              <w:t>электроретинограммы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Регистрация чувствительности и лабильности зрительного анализатора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Расшифровка, описание и интерпретация данных электрофизиологических исследований зрительного анализатора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А06.26.001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А09.26.004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слезы на наличие антигена ВПГ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</w:tbl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jc w:val="center"/>
      </w:pPr>
      <w:r>
        <w:t>1.2. ЛЕЧЕНИЕ ИЗ РАСЧЕТА 14 ДНЕЙ</w:t>
      </w:r>
    </w:p>
    <w:p w:rsidR="00A15A26" w:rsidRDefault="00A15A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"/>
        <w:gridCol w:w="5185"/>
        <w:gridCol w:w="1462"/>
        <w:gridCol w:w="1077"/>
      </w:tblGrid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Частота предоставления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А01.26.001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Сбор анамнеза и жалоб при патологии глаз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16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А01.26.002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Визуальное исследование глаз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А01.26.003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Пальпация при патологии глаз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сред глаза в проходящем свете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Офтальмоскопия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Визометрия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А02.26.005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Периметрия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А02.26.015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Тонометрия глаза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Гониоскопия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А04.26.001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Регистрация </w:t>
            </w:r>
            <w:proofErr w:type="spellStart"/>
            <w:r>
              <w:t>электроретинограммы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Регистрация чувствительности и лабильности зрительного анализатора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А05.26.004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Расшифровка, описание и интерпретация данных </w:t>
            </w:r>
            <w:r>
              <w:lastRenderedPageBreak/>
              <w:t>электрофизиологических исследований зрительного анализатора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А11.02.002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Внутримышечное введение лекарств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А11.05.001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Взятие крови из пальца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А11.12.003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Внутривенное введение лекарственных средств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7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А11.12.009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Взятие крови из периферической вены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А11.26.011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Пара- и ретробульбарные инъекции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7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А11.26.016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Субконъюнктивальные</w:t>
            </w:r>
            <w:proofErr w:type="spellEnd"/>
            <w:r>
              <w:t xml:space="preserve"> инъекции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7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А14.31.003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Транспортировка тяжелобольного внутри учреждения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А15.26.001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Перевязки при операциях на органе зрения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А15.26.002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А16.26.038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Рассечение </w:t>
            </w:r>
            <w:proofErr w:type="spellStart"/>
            <w:r>
              <w:t>симблефарона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А16.26.041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Пластика конъюнктивальной полости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А16.26.042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Трансплантация слизистой оболочки ротовой полости в конъюнктивальную полость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А16.26.049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Кератопластика (трансплантация роговицы)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А16.26.050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Кератопротезирование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А16.26.070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Трабекулоэктомия</w:t>
            </w:r>
            <w:proofErr w:type="spellEnd"/>
            <w:r>
              <w:t xml:space="preserve"> (</w:t>
            </w:r>
            <w:proofErr w:type="spellStart"/>
            <w:r>
              <w:t>синустрабекулоэктомия</w:t>
            </w:r>
            <w:proofErr w:type="spellEnd"/>
            <w:r>
              <w:t>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А16.26.073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Склерэктомия</w:t>
            </w:r>
            <w:proofErr w:type="spellEnd"/>
            <w:r>
              <w:t>, трепанация склеры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А16.26.087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Замещение стекловидного тела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А16.26.089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Витреоэктомия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А16.26.090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Витреошвартэктомия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А16.26.094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Имплантация интраокулярной линзы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А16.26.093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Факоэмульсификация</w:t>
            </w:r>
            <w:proofErr w:type="spellEnd"/>
            <w:r>
              <w:t xml:space="preserve">, </w:t>
            </w:r>
            <w:proofErr w:type="spellStart"/>
            <w:r>
              <w:t>факофрагментация</w:t>
            </w:r>
            <w:proofErr w:type="spellEnd"/>
            <w:r>
              <w:t xml:space="preserve">, </w:t>
            </w:r>
            <w:proofErr w:type="spellStart"/>
            <w:r>
              <w:t>факоаспирация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А16.26.092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Экстракция хрусталика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А16.26.107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Глубокая </w:t>
            </w:r>
            <w:proofErr w:type="spellStart"/>
            <w:r>
              <w:t>склерэктомия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А16.26.110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Тампонада </w:t>
            </w:r>
            <w:proofErr w:type="spellStart"/>
            <w:r>
              <w:t>витреальной</w:t>
            </w:r>
            <w:proofErr w:type="spellEnd"/>
            <w:r>
              <w:t xml:space="preserve"> полости (перфторорганическим или иным высокомолекулярным соединением)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А16.26.111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Эндовитреальная</w:t>
            </w:r>
            <w:proofErr w:type="spellEnd"/>
            <w:r>
              <w:t xml:space="preserve"> замена перфторорганического </w:t>
            </w:r>
            <w:r>
              <w:lastRenderedPageBreak/>
              <w:t>соединения на силикон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0,03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А16.26.112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Удаление силикона из </w:t>
            </w:r>
            <w:proofErr w:type="spellStart"/>
            <w:r>
              <w:t>витреальной</w:t>
            </w:r>
            <w:proofErr w:type="spellEnd"/>
            <w:r>
              <w:t xml:space="preserve"> полости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А22.26.017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spellStart"/>
            <w:r>
              <w:t>Эндолазеркоагуляция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А17.26.001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Электрофорез лекарственных препаратов при болезнях органа зрения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13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А23.26.001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Подбор очковой коррекции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А25.26.001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Назначение лекарственной терапии при заболеваниях органов зрения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14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А25.26.002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Назначение диетической терапии при заболеваниях органов зрения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14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А25.26.003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Назначение лечебно-оздоровительного режима при заболеваниях органов зрения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14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А02.01.001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Измерение массы тела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А02.03.005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Измерение роста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А02.07.001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Осмотр полости рта с использованием дополнительных источников света и зеркал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А02.08.001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А02.09.001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Измерение частоты дыхания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А02.10.002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Измерение частоты сердцебиения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А02.12.001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пульса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2,5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А02.12.002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2,5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А02.25.001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органов слуха с помощью камертона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А02.31.001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Термометрия общая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2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А03.08.001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Ларингоскопия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А03.08.002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Фарингоскопия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А03.25.001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Отоскопия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А05.10.001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А05.10.003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proofErr w:type="gramStart"/>
            <w:r>
              <w:t>Прикроватное</w:t>
            </w:r>
            <w:proofErr w:type="gramEnd"/>
            <w:r>
              <w:t xml:space="preserve"> непрерывное </w:t>
            </w:r>
            <w:proofErr w:type="spellStart"/>
            <w:r>
              <w:t>мониторирование</w:t>
            </w:r>
            <w:proofErr w:type="spellEnd"/>
            <w:r>
              <w:t xml:space="preserve"> электрокардиографических данных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А05.10.007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А06.09.001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Рентгеноскопия легких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А08.05.003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эритроцитов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А08.05.004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лейкоцитов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А08.05.005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тромбоцитов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А08.05.006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А08.05.008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ретикулоцитов</w:t>
            </w:r>
            <w:proofErr w:type="spellEnd"/>
            <w:r>
              <w:t xml:space="preserve">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А08.05.010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А09.05.010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общего белка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А09.05.011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альбумина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А09.05.017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мочевины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А09.05.020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А09.05.021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А09.05.023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А09.05.037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pH</w:t>
            </w:r>
            <w:proofErr w:type="spellEnd"/>
            <w:r>
              <w:t xml:space="preserve">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А09.05.041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аспартат-трансаминазы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А09.05.042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аланин-трансаминазы</w:t>
            </w:r>
            <w:proofErr w:type="spellEnd"/>
            <w:r>
              <w:t xml:space="preserve">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А09.28.001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осадка мочи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А09.28.003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белка в моче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А09.28.011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А09.28.017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концентрации водородных ионов мочи (</w:t>
            </w:r>
            <w:proofErr w:type="spellStart"/>
            <w:r>
              <w:t>pH</w:t>
            </w:r>
            <w:proofErr w:type="spellEnd"/>
            <w:r>
              <w:t xml:space="preserve"> мочи)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А09.28.022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объема мочи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А09.28.023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А12.05.001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оседания эритроцитов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А12.05.005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А12.05.006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резус-принадлежности</w:t>
            </w:r>
            <w:proofErr w:type="gram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А26.06.082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Определение антител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А26.06.036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Определение антигена 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А26.06.041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антител 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А26.06.048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антител 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А26.06.049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Определение антител класса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2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А12.05.026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А12.05.033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А13.31.001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 xml:space="preserve">Обучение </w:t>
            </w:r>
            <w:proofErr w:type="spellStart"/>
            <w:r>
              <w:t>самоуходу</w:t>
            </w:r>
            <w:proofErr w:type="spellEnd"/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А14.19.002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Постановка очистительной клизмы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В01.003.01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Осмотр (консультация) врача-анестезиолога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1346" w:type="dxa"/>
          </w:tcPr>
          <w:p w:rsidR="00A15A26" w:rsidRDefault="00A15A26">
            <w:pPr>
              <w:pStyle w:val="ConsPlusNormal"/>
              <w:jc w:val="center"/>
            </w:pPr>
            <w:r>
              <w:t>В01.003.04</w:t>
            </w:r>
          </w:p>
        </w:tc>
        <w:tc>
          <w:tcPr>
            <w:tcW w:w="5185" w:type="dxa"/>
          </w:tcPr>
          <w:p w:rsidR="00A15A26" w:rsidRDefault="00A15A26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46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</w:tbl>
    <w:p w:rsidR="00A15A26" w:rsidRDefault="00A15A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81"/>
        <w:gridCol w:w="3506"/>
        <w:gridCol w:w="1012"/>
        <w:gridCol w:w="1247"/>
        <w:gridCol w:w="1388"/>
      </w:tblGrid>
      <w:tr w:rsidR="00A15A26">
        <w:tc>
          <w:tcPr>
            <w:tcW w:w="1133" w:type="dxa"/>
          </w:tcPr>
          <w:p w:rsidR="00A15A26" w:rsidRDefault="00A15A26">
            <w:pPr>
              <w:pStyle w:val="ConsPlusNormal"/>
              <w:jc w:val="center"/>
            </w:pPr>
            <w:r>
              <w:t>Фармакотерапевтическая группа</w:t>
            </w:r>
          </w:p>
        </w:tc>
        <w:tc>
          <w:tcPr>
            <w:tcW w:w="781" w:type="dxa"/>
          </w:tcPr>
          <w:p w:rsidR="00A15A26" w:rsidRDefault="00A15A26">
            <w:pPr>
              <w:pStyle w:val="ConsPlusNormal"/>
              <w:jc w:val="center"/>
            </w:pPr>
            <w:r>
              <w:t xml:space="preserve">АТХ группа </w:t>
            </w:r>
            <w:hyperlink w:anchor="P9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6" w:type="dxa"/>
          </w:tcPr>
          <w:p w:rsidR="00A15A26" w:rsidRDefault="00A15A26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Частота назначения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 xml:space="preserve">ОДД </w:t>
            </w:r>
            <w:hyperlink w:anchor="P92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 xml:space="preserve">ЭКД </w:t>
            </w:r>
            <w:hyperlink w:anchor="P923">
              <w:r>
                <w:rPr>
                  <w:color w:val="0000FF"/>
                </w:rPr>
                <w:t>&lt;***&gt;</w:t>
              </w:r>
            </w:hyperlink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 xml:space="preserve">Анестетики, </w:t>
            </w:r>
            <w:proofErr w:type="spellStart"/>
            <w:r>
              <w:t>миорелаксанты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Средства для наркоза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200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160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160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125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125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хлорид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100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8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8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Наркотические анальгетики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0,4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0,4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30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30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 натрия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0,5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Средства, применяемые для лечения аллергических реакций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Антигистаминные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10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Средства, влияющие на центральную нервную систему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 xml:space="preserve">Седативные и </w:t>
            </w:r>
            <w:proofErr w:type="spellStart"/>
            <w:r>
              <w:t>анксиолитические</w:t>
            </w:r>
            <w:proofErr w:type="spellEnd"/>
            <w:r>
              <w:t xml:space="preserve"> средства, средства для лечения психотических расстройств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60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60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5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20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Прочие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Флумазенил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 для профилактики и лечения инфекций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Антибактериальные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1,25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17,5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Гентамицин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1,67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23,38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1,67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23,38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1,67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23,38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 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14 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1400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Противовирусные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Ацикловир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800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8 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Средства, влияющие на кровь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 xml:space="preserve">Растворы и </w:t>
            </w:r>
            <w:proofErr w:type="spellStart"/>
            <w:r>
              <w:t>плазмозаменители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Декстроза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25 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25 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 xml:space="preserve">Средства, влияющие на систему </w:t>
            </w:r>
            <w:r>
              <w:lastRenderedPageBreak/>
              <w:t>свертывания крови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 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5 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500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 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 xml:space="preserve">Средства, влияющие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Вазопрессорные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500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Спазмолитические средства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Атропин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Антиферменты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 xml:space="preserve">100000 </w:t>
            </w:r>
            <w:proofErr w:type="gramStart"/>
            <w:r>
              <w:t>КИЕ</w:t>
            </w:r>
            <w:proofErr w:type="gramEnd"/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 xml:space="preserve">100000 </w:t>
            </w:r>
            <w:proofErr w:type="gramStart"/>
            <w:r>
              <w:t>КИЕ</w:t>
            </w:r>
            <w:proofErr w:type="gramEnd"/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Гормоны и средства, влияющие на эндокринную систему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0,5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Гидрокортизон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2,5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35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Диуретики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3,0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Средства для лечения офтальмологических заболеваний, не обозначенные в других рубриках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proofErr w:type="spellStart"/>
            <w:r>
              <w:t>Миотические</w:t>
            </w:r>
            <w:proofErr w:type="spellEnd"/>
            <w:r>
              <w:t xml:space="preserve"> средства и средства для лечения глаукомы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Тимолол</w:t>
            </w:r>
            <w:proofErr w:type="spellEnd"/>
            <w:r>
              <w:t xml:space="preserve"> </w:t>
            </w:r>
            <w:proofErr w:type="spellStart"/>
            <w:r>
              <w:t>малеат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1,25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17,5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Пилокарпин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1,25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17,5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Бринзоламид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70 мг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140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lastRenderedPageBreak/>
              <w:t>Средства для лечения офтальмологических заболеваний, не обозначенные в других рубриках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 xml:space="preserve">Стимуляторы регенерации и </w:t>
            </w:r>
            <w:proofErr w:type="spellStart"/>
            <w:r>
              <w:t>ретинопротекторы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proofErr w:type="spellStart"/>
            <w:r>
              <w:t>Карбомер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1,25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21,2 мг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Электролиты, средства коррекции кислотного равновесия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Натрия хлорид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9 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9 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Кальция хлорид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1 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1 г</w:t>
            </w: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500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2 г</w:t>
            </w:r>
          </w:p>
        </w:tc>
      </w:tr>
      <w:tr w:rsidR="00A15A26">
        <w:tc>
          <w:tcPr>
            <w:tcW w:w="5420" w:type="dxa"/>
            <w:gridSpan w:val="3"/>
          </w:tcPr>
          <w:p w:rsidR="00A15A26" w:rsidRDefault="00A15A26">
            <w:pPr>
              <w:pStyle w:val="ConsPlusNormal"/>
            </w:pPr>
            <w:r>
              <w:t>Витамины и минералы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 w:val="restart"/>
          </w:tcPr>
          <w:p w:rsidR="00A15A26" w:rsidRDefault="00A15A26">
            <w:pPr>
              <w:pStyle w:val="ConsPlusNormal"/>
            </w:pPr>
          </w:p>
        </w:tc>
        <w:tc>
          <w:tcPr>
            <w:tcW w:w="4287" w:type="dxa"/>
            <w:gridSpan w:val="2"/>
          </w:tcPr>
          <w:p w:rsidR="00A15A26" w:rsidRDefault="00A15A26">
            <w:pPr>
              <w:pStyle w:val="ConsPlusNormal"/>
            </w:pPr>
            <w:r>
              <w:t>Витамины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</w:p>
        </w:tc>
      </w:tr>
      <w:tr w:rsidR="00A15A26">
        <w:tc>
          <w:tcPr>
            <w:tcW w:w="1133" w:type="dxa"/>
            <w:vMerge/>
          </w:tcPr>
          <w:p w:rsidR="00A15A26" w:rsidRDefault="00A15A26">
            <w:pPr>
              <w:pStyle w:val="ConsPlusNormal"/>
            </w:pPr>
          </w:p>
        </w:tc>
        <w:tc>
          <w:tcPr>
            <w:tcW w:w="781" w:type="dxa"/>
          </w:tcPr>
          <w:p w:rsidR="00A15A26" w:rsidRDefault="00A15A26">
            <w:pPr>
              <w:pStyle w:val="ConsPlusNormal"/>
            </w:pPr>
          </w:p>
        </w:tc>
        <w:tc>
          <w:tcPr>
            <w:tcW w:w="3506" w:type="dxa"/>
          </w:tcPr>
          <w:p w:rsidR="00A15A26" w:rsidRDefault="00A15A2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01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15A26" w:rsidRDefault="00A15A26">
            <w:pPr>
              <w:pStyle w:val="ConsPlusNormal"/>
              <w:jc w:val="center"/>
            </w:pPr>
            <w:r>
              <w:t>0,05 мг</w:t>
            </w:r>
          </w:p>
        </w:tc>
        <w:tc>
          <w:tcPr>
            <w:tcW w:w="1388" w:type="dxa"/>
          </w:tcPr>
          <w:p w:rsidR="00A15A26" w:rsidRDefault="00A15A26">
            <w:pPr>
              <w:pStyle w:val="ConsPlusNormal"/>
              <w:jc w:val="center"/>
            </w:pPr>
            <w:r>
              <w:t>0,7 мг</w:t>
            </w:r>
          </w:p>
        </w:tc>
      </w:tr>
    </w:tbl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  <w:r>
        <w:t>--------------------------------</w:t>
      </w:r>
    </w:p>
    <w:p w:rsidR="00A15A26" w:rsidRDefault="00A15A26">
      <w:pPr>
        <w:pStyle w:val="ConsPlusNormal"/>
        <w:spacing w:before="220"/>
        <w:ind w:firstLine="540"/>
        <w:jc w:val="both"/>
      </w:pPr>
      <w:bookmarkStart w:id="2" w:name="P921"/>
      <w:bookmarkEnd w:id="2"/>
      <w:r>
        <w:t>&lt;*&gt; Анатомо-терапевтическо-химическая классификация.</w:t>
      </w:r>
    </w:p>
    <w:p w:rsidR="00A15A26" w:rsidRDefault="00A15A26">
      <w:pPr>
        <w:pStyle w:val="ConsPlusNormal"/>
        <w:spacing w:before="220"/>
        <w:ind w:firstLine="540"/>
        <w:jc w:val="both"/>
      </w:pPr>
      <w:bookmarkStart w:id="3" w:name="P922"/>
      <w:bookmarkEnd w:id="3"/>
      <w:r>
        <w:t>&lt;**&gt; Ориентировочная дневная доза.</w:t>
      </w:r>
    </w:p>
    <w:p w:rsidR="00A15A26" w:rsidRDefault="00A15A26">
      <w:pPr>
        <w:pStyle w:val="ConsPlusNormal"/>
        <w:spacing w:before="220"/>
        <w:ind w:firstLine="540"/>
        <w:jc w:val="both"/>
      </w:pPr>
      <w:bookmarkStart w:id="4" w:name="P923"/>
      <w:bookmarkEnd w:id="4"/>
      <w:r>
        <w:t>&lt;***&gt; Эквивалентная курсовая доза.</w:t>
      </w: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jc w:val="center"/>
      </w:pPr>
      <w:r>
        <w:t>ИМПЛАНТЫ</w:t>
      </w:r>
    </w:p>
    <w:p w:rsidR="00A15A26" w:rsidRDefault="00A15A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1"/>
        <w:gridCol w:w="1876"/>
        <w:gridCol w:w="1452"/>
      </w:tblGrid>
      <w:tr w:rsidR="00A15A26">
        <w:tc>
          <w:tcPr>
            <w:tcW w:w="5741" w:type="dxa"/>
          </w:tcPr>
          <w:p w:rsidR="00A15A26" w:rsidRDefault="00A15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Частота предоставления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>Интраокулярная линза жесткая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>Интраокулярная линза эластичная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>Контактная лечебная линза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proofErr w:type="spellStart"/>
            <w:r>
              <w:t>Кератопротез</w:t>
            </w:r>
            <w:proofErr w:type="spellEnd"/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 xml:space="preserve">Дренаж для </w:t>
            </w:r>
            <w:proofErr w:type="spellStart"/>
            <w:r>
              <w:t>антиглаукоматозных</w:t>
            </w:r>
            <w:proofErr w:type="spellEnd"/>
            <w:r>
              <w:t xml:space="preserve"> операций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proofErr w:type="spellStart"/>
            <w:r>
              <w:t>Иридо</w:t>
            </w:r>
            <w:proofErr w:type="spellEnd"/>
            <w:r>
              <w:t>-хрусталиковая диафрагма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>Силиконовое масло для замещения стекловидного тела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>Перфторорганическое соединение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proofErr w:type="spellStart"/>
            <w:r>
              <w:t>Перфторциклобутан</w:t>
            </w:r>
            <w:proofErr w:type="spellEnd"/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</w:tbl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jc w:val="center"/>
      </w:pPr>
      <w:r>
        <w:t>ТРАНСПЛАНТЫ</w:t>
      </w:r>
    </w:p>
    <w:p w:rsidR="00A15A26" w:rsidRDefault="00A15A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1"/>
        <w:gridCol w:w="1876"/>
        <w:gridCol w:w="1452"/>
      </w:tblGrid>
      <w:tr w:rsidR="00A15A26">
        <w:tc>
          <w:tcPr>
            <w:tcW w:w="5741" w:type="dxa"/>
          </w:tcPr>
          <w:p w:rsidR="00A15A26" w:rsidRDefault="00A15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Частота предоставления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>Консервированный/свежий биопрепарат роговицы человека для сквозной кератопластики</w:t>
            </w:r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  <w:tr w:rsidR="00A15A26">
        <w:tc>
          <w:tcPr>
            <w:tcW w:w="5741" w:type="dxa"/>
          </w:tcPr>
          <w:p w:rsidR="00A15A26" w:rsidRDefault="00A15A26">
            <w:pPr>
              <w:pStyle w:val="ConsPlusNormal"/>
            </w:pPr>
            <w:r>
              <w:t xml:space="preserve">Амнион </w:t>
            </w:r>
            <w:proofErr w:type="spellStart"/>
            <w:r>
              <w:t>силиковысушенный</w:t>
            </w:r>
            <w:proofErr w:type="spellEnd"/>
          </w:p>
        </w:tc>
        <w:tc>
          <w:tcPr>
            <w:tcW w:w="1876" w:type="dxa"/>
          </w:tcPr>
          <w:p w:rsidR="00A15A26" w:rsidRDefault="00A15A26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52" w:type="dxa"/>
          </w:tcPr>
          <w:p w:rsidR="00A15A26" w:rsidRDefault="00A15A26">
            <w:pPr>
              <w:pStyle w:val="ConsPlusNormal"/>
              <w:jc w:val="center"/>
            </w:pPr>
            <w:r>
              <w:t>1</w:t>
            </w:r>
          </w:p>
        </w:tc>
      </w:tr>
    </w:tbl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ind w:firstLine="540"/>
        <w:jc w:val="both"/>
      </w:pPr>
    </w:p>
    <w:p w:rsidR="00A15A26" w:rsidRDefault="00A15A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4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26"/>
    <w:rsid w:val="008658C4"/>
    <w:rsid w:val="00A15A26"/>
    <w:rsid w:val="00E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5A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5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5A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5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5A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5A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5A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5A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5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5A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5A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5A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5A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5A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9D5F72A88FAAAAE7F1418881C5151D055B97EEE20A0846E0131C441C0204CB0321696D6845A2E3E5CDA795C588B9701C6C41ADCEDC93Dp2b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859D5F72A88FAAAAE7F1418881C5151D055B97EEE20A0846E0131C441C0204CB0321696D6845A2E355CDA795C588B9701C6C41ADCEDC93Dp2b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859D5F72A88FAAAAE68160AE9490254D452BC73EC77F7863F543FC14990685CFE771B97D48B5C256206CA7D150F8F8B08D0DA10C2EDpCb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2023-08-29T13:30:00Z</dcterms:created>
  <dcterms:modified xsi:type="dcterms:W3CDTF">2023-08-29T13:30:00Z</dcterms:modified>
</cp:coreProperties>
</file>